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E224" w14:textId="77777777" w:rsidR="000E3478" w:rsidRDefault="000E3478" w:rsidP="000E3478"/>
    <w:tbl>
      <w:tblPr>
        <w:tblW w:w="8789" w:type="dxa"/>
        <w:tblCellMar>
          <w:left w:w="0" w:type="dxa"/>
          <w:right w:w="0" w:type="dxa"/>
        </w:tblCellMar>
        <w:tblLook w:val="04A0" w:firstRow="1" w:lastRow="0" w:firstColumn="1" w:lastColumn="0" w:noHBand="0" w:noVBand="1"/>
      </w:tblPr>
      <w:tblGrid>
        <w:gridCol w:w="2931"/>
        <w:gridCol w:w="2931"/>
        <w:gridCol w:w="2927"/>
      </w:tblGrid>
      <w:tr w:rsidR="000E3478" w:rsidRPr="000E3478" w14:paraId="39B547C0" w14:textId="77777777" w:rsidTr="000E347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B5283B4" w14:textId="77777777" w:rsidR="000E3478" w:rsidRPr="000E3478" w:rsidRDefault="000E3478" w:rsidP="000E3478">
            <w:pPr>
              <w:spacing w:after="0" w:line="240" w:lineRule="atLeast"/>
              <w:rPr>
                <w:rFonts w:ascii="Times New Roman" w:eastAsia="Times New Roman" w:hAnsi="Times New Roman" w:cs="Times New Roman"/>
                <w:sz w:val="24"/>
                <w:szCs w:val="24"/>
                <w:lang w:eastAsia="tr-TR"/>
              </w:rPr>
            </w:pPr>
            <w:r w:rsidRPr="000E3478">
              <w:rPr>
                <w:rFonts w:ascii="Arial" w:eastAsia="Times New Roman" w:hAnsi="Arial" w:cs="Arial"/>
                <w:sz w:val="16"/>
                <w:szCs w:val="16"/>
                <w:lang w:eastAsia="tr-TR"/>
              </w:rPr>
              <w:t>10 Nisan 2023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7935759" w14:textId="77777777" w:rsidR="000E3478" w:rsidRPr="000E3478" w:rsidRDefault="000E3478" w:rsidP="000E3478">
            <w:pPr>
              <w:spacing w:after="0" w:line="240" w:lineRule="atLeast"/>
              <w:jc w:val="center"/>
              <w:rPr>
                <w:rFonts w:ascii="Times New Roman" w:eastAsia="Times New Roman" w:hAnsi="Times New Roman" w:cs="Times New Roman"/>
                <w:sz w:val="24"/>
                <w:szCs w:val="24"/>
                <w:lang w:eastAsia="tr-TR"/>
              </w:rPr>
            </w:pPr>
            <w:r w:rsidRPr="000E347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A8ACBB1" w14:textId="77777777" w:rsidR="000E3478" w:rsidRPr="000E3478" w:rsidRDefault="000E3478" w:rsidP="000E347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E3478">
              <w:rPr>
                <w:rFonts w:ascii="Arial" w:eastAsia="Times New Roman" w:hAnsi="Arial" w:cs="Arial"/>
                <w:sz w:val="16"/>
                <w:szCs w:val="16"/>
                <w:lang w:eastAsia="tr-TR"/>
              </w:rPr>
              <w:t>Sayı : 32159</w:t>
            </w:r>
          </w:p>
        </w:tc>
      </w:tr>
      <w:tr w:rsidR="000E3478" w:rsidRPr="000E3478" w14:paraId="45FAA4C0" w14:textId="77777777" w:rsidTr="000E3478">
        <w:trPr>
          <w:trHeight w:val="480"/>
        </w:trPr>
        <w:tc>
          <w:tcPr>
            <w:tcW w:w="8789" w:type="dxa"/>
            <w:gridSpan w:val="3"/>
            <w:tcMar>
              <w:top w:w="0" w:type="dxa"/>
              <w:left w:w="108" w:type="dxa"/>
              <w:bottom w:w="0" w:type="dxa"/>
              <w:right w:w="108" w:type="dxa"/>
            </w:tcMar>
            <w:vAlign w:val="center"/>
            <w:hideMark/>
          </w:tcPr>
          <w:p w14:paraId="7A8E73BA" w14:textId="77777777" w:rsidR="000E3478" w:rsidRPr="000E3478" w:rsidRDefault="000E3478" w:rsidP="000E34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E3478">
              <w:rPr>
                <w:rFonts w:ascii="Arial" w:eastAsia="Times New Roman" w:hAnsi="Arial" w:cs="Arial"/>
                <w:b/>
                <w:bCs/>
                <w:color w:val="000080"/>
                <w:sz w:val="18"/>
                <w:szCs w:val="18"/>
                <w:lang w:eastAsia="tr-TR"/>
              </w:rPr>
              <w:t>KANUN</w:t>
            </w:r>
          </w:p>
        </w:tc>
      </w:tr>
      <w:tr w:rsidR="000E3478" w:rsidRPr="000E3478" w14:paraId="229C08EE" w14:textId="77777777" w:rsidTr="000E3478">
        <w:trPr>
          <w:trHeight w:val="480"/>
        </w:trPr>
        <w:tc>
          <w:tcPr>
            <w:tcW w:w="8789" w:type="dxa"/>
            <w:gridSpan w:val="3"/>
            <w:tcMar>
              <w:top w:w="0" w:type="dxa"/>
              <w:left w:w="108" w:type="dxa"/>
              <w:bottom w:w="0" w:type="dxa"/>
              <w:right w:w="108" w:type="dxa"/>
            </w:tcMar>
            <w:vAlign w:val="center"/>
            <w:hideMark/>
          </w:tcPr>
          <w:p w14:paraId="3B8F2F18" w14:textId="77777777" w:rsidR="000E3478" w:rsidRPr="000E3478" w:rsidRDefault="000E3478" w:rsidP="000E3478">
            <w:pPr>
              <w:spacing w:after="0" w:line="240" w:lineRule="atLeast"/>
              <w:jc w:val="center"/>
              <w:rPr>
                <w:rFonts w:ascii="Times New Roman" w:eastAsia="Times New Roman" w:hAnsi="Times New Roman" w:cs="Times New Roman"/>
                <w:b/>
                <w:bCs/>
                <w:sz w:val="19"/>
                <w:szCs w:val="19"/>
                <w:lang w:eastAsia="tr-TR"/>
              </w:rPr>
            </w:pPr>
            <w:r w:rsidRPr="000E3478">
              <w:rPr>
                <w:rFonts w:ascii="Times New Roman" w:eastAsia="Times New Roman" w:hAnsi="Times New Roman" w:cs="Times New Roman"/>
                <w:b/>
                <w:bCs/>
                <w:sz w:val="18"/>
                <w:szCs w:val="18"/>
                <w:lang w:eastAsia="tr-TR"/>
              </w:rPr>
              <w:t>ORGANİZE SANAYİ BÖLGELERİ KANUNU İLE BAZI KANUNLARDA</w:t>
            </w:r>
          </w:p>
          <w:p w14:paraId="7F0E8149" w14:textId="77777777" w:rsidR="000E3478" w:rsidRPr="000E3478" w:rsidRDefault="000E3478" w:rsidP="000E3478">
            <w:pPr>
              <w:spacing w:after="100" w:line="240" w:lineRule="atLeast"/>
              <w:jc w:val="center"/>
              <w:rPr>
                <w:rFonts w:ascii="Times New Roman" w:eastAsia="Times New Roman" w:hAnsi="Times New Roman" w:cs="Times New Roman"/>
                <w:b/>
                <w:bCs/>
                <w:sz w:val="19"/>
                <w:szCs w:val="19"/>
                <w:lang w:eastAsia="tr-TR"/>
              </w:rPr>
            </w:pPr>
            <w:r w:rsidRPr="000E3478">
              <w:rPr>
                <w:rFonts w:ascii="Times New Roman" w:eastAsia="Times New Roman" w:hAnsi="Times New Roman" w:cs="Times New Roman"/>
                <w:b/>
                <w:bCs/>
                <w:sz w:val="18"/>
                <w:szCs w:val="18"/>
                <w:lang w:eastAsia="tr-TR"/>
              </w:rPr>
              <w:t>DEĞİŞİKLİK YAPILMASINA DAİR KANUN</w:t>
            </w:r>
          </w:p>
          <w:tbl>
            <w:tblPr>
              <w:tblW w:w="8392" w:type="dxa"/>
              <w:tblCellMar>
                <w:left w:w="0" w:type="dxa"/>
                <w:right w:w="0" w:type="dxa"/>
              </w:tblCellMar>
              <w:tblLook w:val="04A0" w:firstRow="1" w:lastRow="0" w:firstColumn="1" w:lastColumn="0" w:noHBand="0" w:noVBand="1"/>
            </w:tblPr>
            <w:tblGrid>
              <w:gridCol w:w="3470"/>
              <w:gridCol w:w="4922"/>
            </w:tblGrid>
            <w:tr w:rsidR="000E3478" w:rsidRPr="000E3478" w14:paraId="36AF93B5" w14:textId="77777777">
              <w:tc>
                <w:tcPr>
                  <w:tcW w:w="3470" w:type="dxa"/>
                  <w:tcMar>
                    <w:top w:w="0" w:type="dxa"/>
                    <w:left w:w="108" w:type="dxa"/>
                    <w:bottom w:w="0" w:type="dxa"/>
                    <w:right w:w="108" w:type="dxa"/>
                  </w:tcMar>
                  <w:hideMark/>
                </w:tcPr>
                <w:p w14:paraId="6A82B7FE" w14:textId="77777777" w:rsidR="000E3478" w:rsidRPr="000E3478" w:rsidRDefault="000E3478" w:rsidP="000E3478">
                  <w:pPr>
                    <w:spacing w:after="0" w:line="240" w:lineRule="atLeast"/>
                    <w:ind w:left="469"/>
                    <w:jc w:val="both"/>
                    <w:rPr>
                      <w:rFonts w:ascii="Times New Roman" w:eastAsia="Times New Roman" w:hAnsi="Times New Roman" w:cs="Times New Roman"/>
                      <w:sz w:val="19"/>
                      <w:szCs w:val="19"/>
                      <w:lang w:eastAsia="tr-TR"/>
                    </w:rPr>
                  </w:pPr>
                  <w:r w:rsidRPr="000E3478">
                    <w:rPr>
                      <w:rFonts w:ascii="Times New Roman" w:eastAsia="Times New Roman" w:hAnsi="Times New Roman" w:cs="Times New Roman"/>
                      <w:b/>
                      <w:bCs/>
                      <w:sz w:val="18"/>
                      <w:szCs w:val="18"/>
                      <w:u w:val="single"/>
                      <w:lang w:eastAsia="tr-TR"/>
                    </w:rPr>
                    <w:t>Kanun No. 7451</w:t>
                  </w:r>
                </w:p>
              </w:tc>
              <w:tc>
                <w:tcPr>
                  <w:tcW w:w="4922" w:type="dxa"/>
                  <w:tcMar>
                    <w:top w:w="0" w:type="dxa"/>
                    <w:left w:w="108" w:type="dxa"/>
                    <w:bottom w:w="0" w:type="dxa"/>
                    <w:right w:w="108" w:type="dxa"/>
                  </w:tcMar>
                  <w:hideMark/>
                </w:tcPr>
                <w:p w14:paraId="33D96976" w14:textId="77777777" w:rsidR="000E3478" w:rsidRPr="000E3478" w:rsidRDefault="000E3478" w:rsidP="000E3478">
                  <w:pPr>
                    <w:spacing w:after="0" w:line="240" w:lineRule="atLeast"/>
                    <w:jc w:val="right"/>
                    <w:rPr>
                      <w:rFonts w:ascii="Times New Roman" w:eastAsia="Times New Roman" w:hAnsi="Times New Roman" w:cs="Times New Roman"/>
                      <w:sz w:val="19"/>
                      <w:szCs w:val="19"/>
                      <w:lang w:eastAsia="tr-TR"/>
                    </w:rPr>
                  </w:pPr>
                  <w:r w:rsidRPr="000E3478">
                    <w:rPr>
                      <w:rFonts w:ascii="Times New Roman" w:eastAsia="Times New Roman" w:hAnsi="Times New Roman" w:cs="Times New Roman"/>
                      <w:b/>
                      <w:bCs/>
                      <w:sz w:val="18"/>
                      <w:szCs w:val="18"/>
                      <w:u w:val="single"/>
                      <w:lang w:eastAsia="tr-TR"/>
                    </w:rPr>
                    <w:t>Kabul Tarihi: 4/4/2023</w:t>
                  </w:r>
                </w:p>
              </w:tc>
            </w:tr>
          </w:tbl>
          <w:p w14:paraId="08C2574E" w14:textId="77777777" w:rsidR="000E3478" w:rsidRPr="000E3478" w:rsidRDefault="000E3478" w:rsidP="000E3478">
            <w:pPr>
              <w:spacing w:after="0" w:line="240" w:lineRule="auto"/>
              <w:rPr>
                <w:rFonts w:ascii="Times New Roman" w:eastAsia="Times New Roman" w:hAnsi="Times New Roman" w:cs="Times New Roman"/>
                <w:sz w:val="24"/>
                <w:szCs w:val="24"/>
                <w:lang w:eastAsia="tr-TR"/>
              </w:rPr>
            </w:pPr>
          </w:p>
        </w:tc>
      </w:tr>
    </w:tbl>
    <w:p w14:paraId="570F51C6" w14:textId="77777777" w:rsidR="000E3478" w:rsidRDefault="000E3478" w:rsidP="000E3478"/>
    <w:tbl>
      <w:tblPr>
        <w:tblStyle w:val="TabloKlavuzu"/>
        <w:tblW w:w="0" w:type="auto"/>
        <w:tblLook w:val="04A0" w:firstRow="1" w:lastRow="0" w:firstColumn="1" w:lastColumn="0" w:noHBand="0" w:noVBand="1"/>
      </w:tblPr>
      <w:tblGrid>
        <w:gridCol w:w="4531"/>
        <w:gridCol w:w="4531"/>
      </w:tblGrid>
      <w:tr w:rsidR="000E3478" w14:paraId="66069953" w14:textId="77777777" w:rsidTr="000E3478">
        <w:tc>
          <w:tcPr>
            <w:tcW w:w="4531" w:type="dxa"/>
          </w:tcPr>
          <w:p w14:paraId="01C1056E" w14:textId="77777777" w:rsidR="000E3478" w:rsidRDefault="000E3478" w:rsidP="000E3478">
            <w:r>
              <w:t>ESKİ</w:t>
            </w:r>
          </w:p>
        </w:tc>
        <w:tc>
          <w:tcPr>
            <w:tcW w:w="4531" w:type="dxa"/>
          </w:tcPr>
          <w:p w14:paraId="64FA0109" w14:textId="77777777" w:rsidR="000E3478" w:rsidRDefault="000E3478" w:rsidP="000E3478">
            <w:r>
              <w:t>YENİ</w:t>
            </w:r>
          </w:p>
        </w:tc>
      </w:tr>
      <w:tr w:rsidR="000E3478" w14:paraId="60137185" w14:textId="77777777" w:rsidTr="00C75946">
        <w:tc>
          <w:tcPr>
            <w:tcW w:w="9062" w:type="dxa"/>
            <w:gridSpan w:val="2"/>
          </w:tcPr>
          <w:p w14:paraId="598BB7B5" w14:textId="3FF1DF97" w:rsidR="000E3478" w:rsidRPr="000E3478" w:rsidRDefault="000E3478" w:rsidP="000E3478">
            <w:pPr>
              <w:rPr>
                <w:highlight w:val="lightGray"/>
              </w:rPr>
            </w:pPr>
            <w:r w:rsidRPr="000E3478">
              <w:rPr>
                <w:b/>
                <w:bCs/>
                <w:color w:val="000000"/>
                <w:sz w:val="18"/>
                <w:szCs w:val="18"/>
                <w:highlight w:val="lightGray"/>
              </w:rPr>
              <w:t>MADDE 3-</w:t>
            </w:r>
            <w:r w:rsidRPr="000E3478">
              <w:rPr>
                <w:color w:val="000000"/>
                <w:sz w:val="18"/>
                <w:szCs w:val="18"/>
                <w:highlight w:val="lightGray"/>
              </w:rPr>
              <w:t> </w:t>
            </w:r>
            <w:r w:rsidRPr="000E3478">
              <w:rPr>
                <w:rStyle w:val="grame"/>
                <w:color w:val="000000"/>
                <w:sz w:val="18"/>
                <w:szCs w:val="18"/>
                <w:highlight w:val="lightGray"/>
              </w:rPr>
              <w:t>27/10/1999</w:t>
            </w:r>
            <w:r w:rsidRPr="000E3478">
              <w:rPr>
                <w:color w:val="000000"/>
                <w:sz w:val="18"/>
                <w:szCs w:val="18"/>
                <w:highlight w:val="lightGray"/>
              </w:rPr>
              <w:t> tarihli ve 4458 sayılı Gümrük Kanununun 216 </w:t>
            </w:r>
            <w:proofErr w:type="spellStart"/>
            <w:r w:rsidRPr="000E3478">
              <w:rPr>
                <w:rStyle w:val="spelle"/>
                <w:color w:val="000000"/>
                <w:sz w:val="18"/>
                <w:szCs w:val="18"/>
                <w:highlight w:val="lightGray"/>
              </w:rPr>
              <w:t>ncı</w:t>
            </w:r>
            <w:proofErr w:type="spellEnd"/>
            <w:r w:rsidRPr="000E3478">
              <w:rPr>
                <w:color w:val="000000"/>
                <w:sz w:val="18"/>
                <w:szCs w:val="18"/>
                <w:highlight w:val="lightGray"/>
              </w:rPr>
              <w:t> maddesinin birinci ve ikinci fıkralarında yer alan “6183 sayılı Kanuna göre belirlenen tecil faizi” ibareleri “kanuni faiz” şeklinde ve ikinci fıkrasında yer alan “üç” ibaresi “dört” şeklinde değiştirilmiştir.</w:t>
            </w:r>
          </w:p>
        </w:tc>
      </w:tr>
      <w:tr w:rsidR="000E3478" w14:paraId="1BB46A42" w14:textId="77777777" w:rsidTr="000E3478">
        <w:tc>
          <w:tcPr>
            <w:tcW w:w="4531" w:type="dxa"/>
          </w:tcPr>
          <w:p w14:paraId="138DE7B5" w14:textId="77777777" w:rsidR="000E3478" w:rsidRDefault="000E3478" w:rsidP="000E3478">
            <w:pPr>
              <w:pStyle w:val="AralkYok"/>
              <w:jc w:val="both"/>
            </w:pPr>
            <w:r>
              <w:t xml:space="preserve">MADDE 216 – 1. Gümrük vergileri ile bunların ödenmelerine bağlı olarak tahsil edilmiş gecikme faizinin veya gecikme zammının geri verilmesinde, geri vermeye konu fazla tahsilatın yükümlüden kaynaklanması durumunda geri verme başvurusunun yapıldığı tarihten, diğer durumlarda ise tahsilat tarihinden geri verme kararının tebliğ edildiği tarihe kadar geçen süre için geri verilecek tutar üzerinden, aynı dönemde </w:t>
            </w:r>
            <w:r w:rsidRPr="000E3478">
              <w:rPr>
                <w:highlight w:val="yellow"/>
              </w:rPr>
              <w:t>6183 sayılı Kanuna göre belirlenen tecil faizi</w:t>
            </w:r>
            <w:r>
              <w:t xml:space="preserve"> oranında hesaplanan faiz ödenir.</w:t>
            </w:r>
          </w:p>
          <w:p w14:paraId="45FECBB7" w14:textId="77777777" w:rsidR="000E3478" w:rsidRDefault="000E3478" w:rsidP="000E3478">
            <w:pPr>
              <w:pStyle w:val="AralkYok"/>
              <w:jc w:val="both"/>
            </w:pPr>
          </w:p>
          <w:p w14:paraId="5ADA17D3" w14:textId="77777777" w:rsidR="000E3478" w:rsidRDefault="000E3478" w:rsidP="000E3478">
            <w:pPr>
              <w:pStyle w:val="AralkYok"/>
              <w:jc w:val="both"/>
            </w:pPr>
            <w:r>
              <w:t xml:space="preserve">2. Geri verme kararının tebliğ edildiği tarihten itibaren </w:t>
            </w:r>
            <w:r w:rsidRPr="000E3478">
              <w:rPr>
                <w:highlight w:val="yellow"/>
              </w:rPr>
              <w:t>üç</w:t>
            </w:r>
            <w:r>
              <w:t xml:space="preserve"> ay içerisinde idarece söz konusu kararın uygulanmaması hâlinde, ilgilinin talebi üzerine, tebliğ tarihinden ödemenin yapıldığı tarihe kadar geçen süre için geri verilecek tutar üzerinden, aynı dönemde </w:t>
            </w:r>
            <w:r w:rsidRPr="000E3478">
              <w:rPr>
                <w:highlight w:val="yellow"/>
              </w:rPr>
              <w:t>6183 sayılı Kanuna göre belirlenen tecil faizi</w:t>
            </w:r>
            <w:r>
              <w:t xml:space="preserve"> oranında hesaplanan faiz ödenir.</w:t>
            </w:r>
          </w:p>
          <w:p w14:paraId="64F6E231" w14:textId="77777777" w:rsidR="000E3478" w:rsidRDefault="000E3478" w:rsidP="000E3478"/>
        </w:tc>
        <w:tc>
          <w:tcPr>
            <w:tcW w:w="4531" w:type="dxa"/>
          </w:tcPr>
          <w:p w14:paraId="517EFF1C" w14:textId="253A6895" w:rsidR="000E3478" w:rsidRDefault="000E3478" w:rsidP="000E3478">
            <w:pPr>
              <w:pStyle w:val="AralkYok"/>
              <w:jc w:val="both"/>
            </w:pPr>
            <w:r>
              <w:t xml:space="preserve">MADDE 216 – 1. Gümrük vergileri ile bunların ödenmelerine bağlı olarak tahsil edilmiş gecikme faizinin veya gecikme zammının geri verilmesinde, geri vermeye konu fazla tahsilatın yükümlüden kaynaklanması durumunda geri verme başvurusunun yapıldığı tarihten, diğer durumlarda ise tahsilat tarihinden geri verme kararının tebliğ edildiği tarihe kadar geçen süre için geri verilecek tutar üzerinden, aynı dönemde </w:t>
            </w:r>
            <w:r w:rsidRPr="000E3478">
              <w:rPr>
                <w:highlight w:val="yellow"/>
              </w:rPr>
              <w:t>kanuni faiz</w:t>
            </w:r>
            <w:r>
              <w:t xml:space="preserve"> oranında hesaplanan faiz ödenir.</w:t>
            </w:r>
          </w:p>
          <w:p w14:paraId="100DB95B" w14:textId="77777777" w:rsidR="000E3478" w:rsidRDefault="000E3478" w:rsidP="000E3478">
            <w:pPr>
              <w:pStyle w:val="AralkYok"/>
              <w:jc w:val="both"/>
            </w:pPr>
          </w:p>
          <w:p w14:paraId="798C85E9" w14:textId="74633B10" w:rsidR="000E3478" w:rsidRDefault="000E3478" w:rsidP="000E3478">
            <w:pPr>
              <w:pStyle w:val="AralkYok"/>
              <w:jc w:val="both"/>
            </w:pPr>
            <w:r>
              <w:t xml:space="preserve">2. Geri verme kararının tebliğ edildiği tarihten itibaren </w:t>
            </w:r>
            <w:r w:rsidRPr="000E3478">
              <w:rPr>
                <w:highlight w:val="yellow"/>
              </w:rPr>
              <w:t>dört</w:t>
            </w:r>
            <w:r>
              <w:t xml:space="preserve"> ay içerisinde idarece söz konusu kararın uygulanmaması hâlinde, ilgilinin talebi üzerine, tebliğ tarihinden ödemenin yapıldığı tarihe kadar geçen süre için geri verilecek tutar üzerinden, aynı dönemde </w:t>
            </w:r>
            <w:r w:rsidRPr="000E3478">
              <w:rPr>
                <w:highlight w:val="yellow"/>
              </w:rPr>
              <w:t>kanuni faiz</w:t>
            </w:r>
            <w:r>
              <w:t xml:space="preserve"> oranında hesaplanan faiz ödenir.</w:t>
            </w:r>
            <w:r>
              <w:t xml:space="preserve"> </w:t>
            </w:r>
            <w:r w:rsidRPr="000E3478">
              <w:rPr>
                <w:b/>
                <w:bCs/>
                <w:highlight w:val="yellow"/>
              </w:rPr>
              <w:t>DEĞİŞTİ</w:t>
            </w:r>
          </w:p>
          <w:p w14:paraId="6E505AB3" w14:textId="77777777" w:rsidR="000E3478" w:rsidRDefault="000E3478" w:rsidP="000E3478"/>
        </w:tc>
      </w:tr>
      <w:tr w:rsidR="00D87522" w14:paraId="47608ECC" w14:textId="77777777" w:rsidTr="00F410BB">
        <w:tc>
          <w:tcPr>
            <w:tcW w:w="9062" w:type="dxa"/>
            <w:gridSpan w:val="2"/>
          </w:tcPr>
          <w:p w14:paraId="57F0AE6E" w14:textId="003F0D21" w:rsidR="00D87522" w:rsidRPr="00437FB3" w:rsidRDefault="00D87522" w:rsidP="000E3478">
            <w:pPr>
              <w:rPr>
                <w:highlight w:val="lightGray"/>
              </w:rPr>
            </w:pPr>
            <w:r w:rsidRPr="00437FB3">
              <w:rPr>
                <w:b/>
                <w:bCs/>
                <w:color w:val="000000"/>
                <w:sz w:val="18"/>
                <w:szCs w:val="18"/>
                <w:highlight w:val="lightGray"/>
              </w:rPr>
              <w:t>MADDE 22-</w:t>
            </w:r>
            <w:r w:rsidRPr="00437FB3">
              <w:rPr>
                <w:color w:val="000000"/>
                <w:sz w:val="18"/>
                <w:szCs w:val="18"/>
                <w:highlight w:val="lightGray"/>
              </w:rPr>
              <w:t> Bu Kanun yayımı tarihinde yürürlüğe girer.</w:t>
            </w:r>
          </w:p>
        </w:tc>
      </w:tr>
      <w:tr w:rsidR="00D87522" w14:paraId="022BA6B8" w14:textId="77777777" w:rsidTr="00483F68">
        <w:tc>
          <w:tcPr>
            <w:tcW w:w="9062" w:type="dxa"/>
            <w:gridSpan w:val="2"/>
          </w:tcPr>
          <w:p w14:paraId="31CC3575" w14:textId="35D44CCB" w:rsidR="00D87522" w:rsidRPr="00437FB3" w:rsidRDefault="00D87522" w:rsidP="000E3478">
            <w:pPr>
              <w:rPr>
                <w:highlight w:val="lightGray"/>
              </w:rPr>
            </w:pPr>
            <w:r w:rsidRPr="00437FB3">
              <w:rPr>
                <w:b/>
                <w:bCs/>
                <w:color w:val="000000"/>
                <w:sz w:val="18"/>
                <w:szCs w:val="18"/>
                <w:highlight w:val="lightGray"/>
              </w:rPr>
              <w:t>MADDE 23-</w:t>
            </w:r>
            <w:r w:rsidRPr="00437FB3">
              <w:rPr>
                <w:color w:val="000000"/>
                <w:sz w:val="18"/>
                <w:szCs w:val="18"/>
                <w:highlight w:val="lightGray"/>
              </w:rPr>
              <w:t> Bu Kanun hükümlerini Cumhurbaşkanı yürütür.</w:t>
            </w:r>
          </w:p>
        </w:tc>
      </w:tr>
    </w:tbl>
    <w:p w14:paraId="31D192D9" w14:textId="0D4CEEB9" w:rsidR="001E14D7" w:rsidRDefault="001E14D7" w:rsidP="000E3478"/>
    <w:sectPr w:rsidR="001E1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78"/>
    <w:rsid w:val="00076C89"/>
    <w:rsid w:val="000E3478"/>
    <w:rsid w:val="001E14D7"/>
    <w:rsid w:val="00437FB3"/>
    <w:rsid w:val="008C3305"/>
    <w:rsid w:val="00C10CC7"/>
    <w:rsid w:val="00D87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2E3E"/>
  <w15:chartTrackingRefBased/>
  <w15:docId w15:val="{235EF9EC-0B66-4EAD-981D-5D71A1EC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34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E34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E34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E3478"/>
  </w:style>
  <w:style w:type="table" w:styleId="TabloKlavuzu">
    <w:name w:val="Table Grid"/>
    <w:basedOn w:val="NormalTablo"/>
    <w:uiPriority w:val="39"/>
    <w:rsid w:val="000E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VarsaylanParagrafYazTipi"/>
    <w:rsid w:val="000E3478"/>
  </w:style>
  <w:style w:type="paragraph" w:styleId="AralkYok">
    <w:name w:val="No Spacing"/>
    <w:uiPriority w:val="1"/>
    <w:qFormat/>
    <w:rsid w:val="000E3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4A73-8CEF-4982-B356-07FB34D4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KARABAŞ</dc:creator>
  <cp:keywords/>
  <dc:description/>
  <cp:lastModifiedBy>Ersan KARABAŞ</cp:lastModifiedBy>
  <cp:revision>4</cp:revision>
  <dcterms:created xsi:type="dcterms:W3CDTF">2023-04-10T05:13:00Z</dcterms:created>
  <dcterms:modified xsi:type="dcterms:W3CDTF">2023-04-10T05:33:00Z</dcterms:modified>
</cp:coreProperties>
</file>